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2880" w:firstLineChars="800"/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南岳区融媒体中心</w:t>
      </w:r>
    </w:p>
    <w:p>
      <w:pPr>
        <w:widowControl/>
        <w:ind w:firstLine="1440" w:firstLineChars="400"/>
        <w:jc w:val="both"/>
        <w:rPr>
          <w:rFonts w:eastAsia="方正小标宋_GBK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年度部门整体支出绩效评价报告</w:t>
      </w:r>
    </w:p>
    <w:p>
      <w:pPr>
        <w:spacing w:line="600" w:lineRule="exact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根据《中共中央 国务院关于全面实施预算绩效管理的意见》的文件精神，我</w:t>
      </w:r>
      <w:r>
        <w:rPr>
          <w:rFonts w:hint="eastAsia" w:eastAsia="仿宋_GB2312"/>
          <w:sz w:val="32"/>
          <w:szCs w:val="32"/>
          <w:lang w:val="en-US" w:eastAsia="zh-CN"/>
        </w:rPr>
        <w:t>中心</w:t>
      </w:r>
      <w:r>
        <w:rPr>
          <w:rFonts w:eastAsia="仿宋_GB2312"/>
          <w:sz w:val="32"/>
          <w:szCs w:val="32"/>
        </w:rPr>
        <w:t>对</w:t>
      </w:r>
      <w:r>
        <w:rPr>
          <w:rFonts w:hint="eastAsia" w:eastAsia="仿宋_GB2312"/>
          <w:sz w:val="32"/>
          <w:szCs w:val="32"/>
          <w:lang w:val="en-US" w:eastAsia="zh-CN"/>
        </w:rPr>
        <w:t>2023年</w:t>
      </w:r>
      <w:r>
        <w:rPr>
          <w:rFonts w:eastAsia="仿宋_GB2312"/>
          <w:sz w:val="32"/>
          <w:szCs w:val="32"/>
        </w:rPr>
        <w:t>部门整体支出进行了绩效评价，现报告如下：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  <w:lang w:eastAsia="zh-CN"/>
        </w:rPr>
        <w:t>一、</w:t>
      </w:r>
      <w:r>
        <w:rPr>
          <w:rFonts w:hint="eastAsia" w:ascii="黑体" w:hAnsi="Times New Roman" w:eastAsia="黑体" w:cs="Times New Roman"/>
          <w:sz w:val="32"/>
          <w:szCs w:val="32"/>
        </w:rPr>
        <w:t>部门（单位）基本情况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napToGrid w:val="0"/>
          <w:kern w:val="0"/>
          <w:sz w:val="32"/>
          <w:szCs w:val="32"/>
        </w:rPr>
      </w:pPr>
      <w:r>
        <w:rPr>
          <w:rFonts w:eastAsia="楷体_GB2312"/>
          <w:b/>
          <w:snapToGrid w:val="0"/>
          <w:kern w:val="0"/>
          <w:sz w:val="32"/>
          <w:szCs w:val="32"/>
        </w:rPr>
        <w:t>（一）部门职能职责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/>
        <w:ind w:left="0" w:right="0" w:firstLine="510"/>
        <w:textAlignment w:val="auto"/>
        <w:rPr>
          <w:rFonts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i w:val="0"/>
          <w:iCs w:val="0"/>
          <w:caps w:val="0"/>
          <w:color w:val="666666"/>
          <w:spacing w:val="0"/>
          <w:sz w:val="32"/>
          <w:szCs w:val="32"/>
          <w:shd w:val="clear" w:fill="FFFFFF"/>
        </w:rPr>
        <w:t>1.</w:t>
      </w:r>
      <w:r>
        <w:rPr>
          <w:rFonts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贯彻执行党和国家有关新闻宣传、文艺宣传的方针政策和法律法规，不断提高节目质量，当好党和政府及人民群众的喉舌。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/>
        <w:ind w:left="0" w:right="0" w:firstLine="510"/>
        <w:textAlignment w:val="auto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2.负责南岳区广播电视新闻宣传、文艺宣传和广告宣传等工作。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/>
        <w:ind w:left="0" w:right="0" w:firstLine="510"/>
        <w:textAlignment w:val="auto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3.负责南岳区广播电视节目的采编、制作、审核、播放、交流、传输及中央和省、市广播、电视的转播等工作；负责南岳区广播电视节目在互联网上的有关维护、管理工作。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/>
        <w:ind w:left="0" w:right="0" w:firstLine="510"/>
        <w:textAlignment w:val="auto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4.负责拟订南岳区广播电视事业发展规划并组织实施。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/>
        <w:ind w:left="0" w:right="0" w:firstLine="510"/>
        <w:textAlignment w:val="auto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5.负责审查南岳区广告的经营、播出。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/>
        <w:ind w:left="0" w:right="0" w:firstLine="510"/>
        <w:textAlignment w:val="auto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6.负责本台广播电视新技术的科学研究和开发利用；负责本级广播电视新媒体的发展。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/>
        <w:ind w:left="0" w:right="0" w:firstLine="510"/>
        <w:textAlignment w:val="auto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7.负责南岳区广播电视节目的播控、发射工作以及摄、录、编、播设备的管理和维护、保养。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/>
        <w:ind w:left="0" w:right="0" w:firstLine="510"/>
        <w:textAlignment w:val="auto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8.负责数字广播电视宽带综合信息网络的建设、管理和维护，发展数字广播电视用户，开展网络拓展业务和增值业务。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/>
        <w:ind w:left="0" w:right="0" w:firstLine="510"/>
        <w:textAlignment w:val="auto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9.承办区委、区政府交办的其他事项。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（二）机构设置情况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0" w:firstLine="562" w:firstLineChars="200"/>
        <w:rPr>
          <w:rFonts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Style w:val="8"/>
          <w:rFonts w:ascii="仿宋" w:hAnsi="仿宋" w:eastAsia="仿宋" w:cs="仿宋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（</w:t>
      </w:r>
      <w:r>
        <w:rPr>
          <w:rFonts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一）内设机构设置。</w:t>
      </w: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南岳区融媒体中心是党委直接管理的正科级事业单位，2023年末，我中心内设股室6个，分别是：办公室（含财务室）、总编室、新闻中心、专题部、播出技术中心、事业发展股。核定全额事业编制32人，2023年末在岗在编人数30人，退休人员2人，根据工作需要，聘请编外专业技术人员10人，现有公务用车1 台，为其他公务用车</w:t>
      </w:r>
      <w:r>
        <w:rPr>
          <w:rFonts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360"/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    （二）</w:t>
      </w:r>
      <w:r>
        <w:rPr>
          <w:rFonts w:hint="eastAsia" w:eastAsia="仿宋_GB2312" w:asciiTheme="minorHAnsi" w:hAnsiTheme="minorHAnsi" w:cstheme="minorBidi"/>
          <w:kern w:val="2"/>
          <w:sz w:val="32"/>
          <w:szCs w:val="32"/>
          <w:lang w:val="en-US" w:eastAsia="zh-CN" w:bidi="ar-SA"/>
        </w:rPr>
        <w:t>部门预算单位构成 。我单位只有本级，没有其他二级预算单位，因此，纳入2023年部门预算编制范围的只有南岳区融媒体中心本级 。</w:t>
      </w:r>
    </w:p>
    <w:p>
      <w:pPr>
        <w:widowControl/>
        <w:numPr>
          <w:ilvl w:val="0"/>
          <w:numId w:val="1"/>
        </w:num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一般公共预算支出情况</w:t>
      </w:r>
    </w:p>
    <w:p>
      <w:pPr>
        <w:widowControl/>
        <w:numPr>
          <w:ilvl w:val="0"/>
          <w:numId w:val="0"/>
        </w:numPr>
        <w:spacing w:line="600" w:lineRule="exact"/>
        <w:ind w:firstLine="643" w:firstLineChars="200"/>
        <w:rPr>
          <w:rFonts w:hint="eastAsia" w:ascii="楷体_GB2312" w:hAnsi="Times New Roman" w:eastAsia="楷体_GB2312" w:cs="Times New Roman"/>
          <w:b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sz w:val="32"/>
          <w:szCs w:val="32"/>
        </w:rPr>
        <w:t>（一）基本支出情况</w:t>
      </w:r>
    </w:p>
    <w:p>
      <w:pPr>
        <w:tabs>
          <w:tab w:val="left" w:pos="2296"/>
        </w:tabs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基本支出系保障我</w:t>
      </w:r>
      <w:r>
        <w:rPr>
          <w:rFonts w:hint="eastAsia" w:eastAsia="仿宋_GB2312"/>
          <w:sz w:val="32"/>
          <w:szCs w:val="32"/>
          <w:lang w:val="en-US" w:eastAsia="zh-CN"/>
        </w:rPr>
        <w:t>中心</w:t>
      </w:r>
      <w:r>
        <w:rPr>
          <w:rFonts w:eastAsia="仿宋_GB2312"/>
          <w:sz w:val="32"/>
          <w:szCs w:val="32"/>
        </w:rPr>
        <w:t>机构正常运转、完成日常工作任务而发生的各项支出，包括用于在职和离退休人员基本工资、津贴补贴等人员经费以及办公费、印刷费、水电费、办公设备购置等日常公用经费。20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年基本支出</w:t>
      </w:r>
      <w:r>
        <w:rPr>
          <w:rFonts w:hint="eastAsia" w:eastAsia="仿宋_GB2312"/>
          <w:sz w:val="32"/>
          <w:szCs w:val="32"/>
          <w:lang w:val="en-US" w:eastAsia="zh-CN"/>
        </w:rPr>
        <w:t>654.06</w:t>
      </w:r>
      <w:r>
        <w:rPr>
          <w:rFonts w:eastAsia="仿宋_GB2312"/>
          <w:sz w:val="32"/>
          <w:szCs w:val="32"/>
        </w:rPr>
        <w:t>万元，较上年</w:t>
      </w:r>
      <w:r>
        <w:rPr>
          <w:rFonts w:hint="eastAsia" w:eastAsia="仿宋_GB2312"/>
          <w:sz w:val="32"/>
          <w:szCs w:val="32"/>
          <w:lang w:val="en-US" w:eastAsia="zh-CN"/>
        </w:rPr>
        <w:t>增加157.96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color w:val="000000"/>
          <w:sz w:val="32"/>
          <w:szCs w:val="32"/>
        </w:rPr>
        <w:t>基本支出中人员经费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532.28</w:t>
      </w:r>
      <w:r>
        <w:rPr>
          <w:rFonts w:eastAsia="仿宋_GB2312"/>
          <w:color w:val="000000"/>
          <w:sz w:val="32"/>
          <w:szCs w:val="32"/>
        </w:rPr>
        <w:t>万元，占基本支出的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81.38</w:t>
      </w:r>
      <w:r>
        <w:rPr>
          <w:rFonts w:eastAsia="仿宋_GB2312"/>
          <w:color w:val="000000"/>
          <w:sz w:val="32"/>
          <w:szCs w:val="32"/>
        </w:rPr>
        <w:t>%，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较上年增加155.55万元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；</w:t>
      </w:r>
      <w:r>
        <w:rPr>
          <w:rFonts w:eastAsia="仿宋_GB2312"/>
          <w:color w:val="000000"/>
          <w:sz w:val="32"/>
          <w:szCs w:val="32"/>
        </w:rPr>
        <w:t>日常公用经费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121.78</w:t>
      </w:r>
      <w:r>
        <w:rPr>
          <w:rFonts w:eastAsia="仿宋_GB2312"/>
          <w:color w:val="000000"/>
          <w:sz w:val="32"/>
          <w:szCs w:val="32"/>
        </w:rPr>
        <w:t>万元，占基本支出的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18.62</w:t>
      </w:r>
      <w:r>
        <w:rPr>
          <w:rFonts w:eastAsia="仿宋_GB2312"/>
          <w:color w:val="000000"/>
          <w:sz w:val="32"/>
          <w:szCs w:val="32"/>
        </w:rPr>
        <w:t>%，较上年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增长2.02</w:t>
      </w:r>
      <w:r>
        <w:rPr>
          <w:rFonts w:eastAsia="仿宋_GB2312"/>
          <w:color w:val="000000"/>
          <w:sz w:val="32"/>
          <w:szCs w:val="32"/>
        </w:rPr>
        <w:t>%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基本支出较上年增长较多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主要原因是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按照事业单位规范津补贴政策，我区今年按政策兑现了2021年至2023年在岗在编人员事业人员和退休人员绩效奖金，同时外聘人员工资福利支出增加，公用经费与上年基本持平，但疫情防控转段后，新闻外宣等工作增加，在厉行节约基础上，相关费用增加。</w:t>
      </w:r>
    </w:p>
    <w:p>
      <w:pPr>
        <w:widowControl/>
        <w:spacing w:line="600" w:lineRule="exact"/>
        <w:ind w:firstLine="643" w:firstLineChars="200"/>
        <w:rPr>
          <w:rFonts w:ascii="楷体_GB2312" w:hAnsi="Times New Roman" w:eastAsia="楷体_GB2312" w:cs="Times New Roman"/>
          <w:b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sz w:val="32"/>
          <w:szCs w:val="32"/>
        </w:rPr>
        <w:t>（二）</w:t>
      </w:r>
      <w:r>
        <w:rPr>
          <w:rFonts w:ascii="楷体_GB2312" w:hAnsi="Times New Roman" w:eastAsia="楷体_GB2312" w:cs="Times New Roman"/>
          <w:b/>
          <w:sz w:val="32"/>
          <w:szCs w:val="32"/>
        </w:rPr>
        <w:t>项目支出情况</w:t>
      </w:r>
    </w:p>
    <w:p>
      <w:pPr>
        <w:tabs>
          <w:tab w:val="left" w:pos="2296"/>
        </w:tabs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项目支出系我</w:t>
      </w:r>
      <w:r>
        <w:rPr>
          <w:rFonts w:hint="eastAsia" w:eastAsia="仿宋_GB2312"/>
          <w:sz w:val="32"/>
          <w:szCs w:val="32"/>
          <w:lang w:val="en-US" w:eastAsia="zh-CN"/>
        </w:rPr>
        <w:t>中心</w:t>
      </w:r>
      <w:r>
        <w:rPr>
          <w:rFonts w:eastAsia="仿宋_GB2312"/>
          <w:sz w:val="32"/>
          <w:szCs w:val="32"/>
        </w:rPr>
        <w:t>为完成</w:t>
      </w:r>
      <w:r>
        <w:rPr>
          <w:rFonts w:hint="eastAsia" w:eastAsia="仿宋_GB2312"/>
          <w:sz w:val="32"/>
          <w:szCs w:val="32"/>
          <w:lang w:val="en-US" w:eastAsia="zh-CN"/>
        </w:rPr>
        <w:t>中心专项业务</w:t>
      </w:r>
      <w:r>
        <w:rPr>
          <w:rFonts w:eastAsia="仿宋_GB2312"/>
          <w:sz w:val="32"/>
          <w:szCs w:val="32"/>
        </w:rPr>
        <w:t>而发生的支出，包括行业务工作经费和运行维护经费。业务工作经费支出主要用于</w:t>
      </w:r>
      <w:r>
        <w:rPr>
          <w:rFonts w:hint="eastAsia" w:eastAsia="仿宋_GB2312"/>
          <w:sz w:val="32"/>
          <w:szCs w:val="32"/>
          <w:lang w:val="en-US" w:eastAsia="zh-CN"/>
        </w:rPr>
        <w:t>新闻外宣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技术人员经费补助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手机台运营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专题专栏制作、党政门户网运维</w:t>
      </w:r>
      <w:r>
        <w:rPr>
          <w:rFonts w:eastAsia="仿宋_GB2312"/>
          <w:sz w:val="32"/>
          <w:szCs w:val="32"/>
        </w:rPr>
        <w:t>等方面。20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年项目支出</w:t>
      </w:r>
      <w:r>
        <w:rPr>
          <w:rFonts w:hint="eastAsia" w:eastAsia="仿宋_GB2312"/>
          <w:sz w:val="32"/>
          <w:szCs w:val="32"/>
          <w:lang w:val="en-US" w:eastAsia="zh-CN"/>
        </w:rPr>
        <w:t>165.02</w:t>
      </w:r>
      <w:r>
        <w:rPr>
          <w:rFonts w:eastAsia="仿宋_GB2312"/>
          <w:sz w:val="32"/>
          <w:szCs w:val="32"/>
        </w:rPr>
        <w:t>元，比上年</w:t>
      </w:r>
      <w:r>
        <w:rPr>
          <w:rFonts w:hint="eastAsia" w:eastAsia="仿宋_GB2312"/>
          <w:sz w:val="32"/>
          <w:szCs w:val="32"/>
          <w:lang w:val="en-US" w:eastAsia="zh-CN"/>
        </w:rPr>
        <w:t>增加25.51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其中业务工作经费支出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85.71</w:t>
      </w:r>
      <w:r>
        <w:rPr>
          <w:rFonts w:eastAsia="仿宋_GB2312"/>
          <w:sz w:val="32"/>
          <w:szCs w:val="32"/>
        </w:rPr>
        <w:t>元，</w:t>
      </w:r>
      <w:r>
        <w:rPr>
          <w:rFonts w:hint="eastAsia" w:eastAsia="仿宋_GB2312"/>
          <w:sz w:val="32"/>
          <w:szCs w:val="32"/>
          <w:lang w:val="en-US" w:eastAsia="zh-CN"/>
        </w:rPr>
        <w:t>技术人员经费补助65.6万元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  <w:lang w:val="en-US" w:eastAsia="zh-CN"/>
        </w:rPr>
        <w:t>自收自支人员经费13.71万元。</w:t>
      </w:r>
    </w:p>
    <w:p>
      <w:pPr>
        <w:widowControl/>
        <w:numPr>
          <w:ilvl w:val="0"/>
          <w:numId w:val="0"/>
        </w:numPr>
        <w:spacing w:line="600" w:lineRule="exact"/>
        <w:ind w:leftChars="0"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三、</w:t>
      </w:r>
      <w:r>
        <w:rPr>
          <w:rFonts w:ascii="Times New Roman" w:hAnsi="Times New Roman" w:eastAsia="黑体" w:cs="Times New Roman"/>
          <w:sz w:val="32"/>
          <w:szCs w:val="32"/>
        </w:rPr>
        <w:t>部门整体支出绩效情况</w:t>
      </w:r>
    </w:p>
    <w:p>
      <w:pPr>
        <w:widowControl/>
        <w:numPr>
          <w:ilvl w:val="0"/>
          <w:numId w:val="0"/>
        </w:numPr>
        <w:spacing w:line="600" w:lineRule="exact"/>
        <w:ind w:leftChars="0" w:firstLine="640" w:firstLineChars="200"/>
        <w:jc w:val="left"/>
        <w:rPr>
          <w:rFonts w:ascii="Times New Roman" w:hAnsi="Times New Roman" w:eastAsia="仿宋_GB2312"/>
          <w:sz w:val="32"/>
          <w:szCs w:val="32"/>
          <w:u w:val="none"/>
        </w:rPr>
      </w:pPr>
      <w:r>
        <w:rPr>
          <w:rFonts w:ascii="Times New Roman" w:hAnsi="Times New Roman" w:eastAsia="仿宋_GB2312"/>
          <w:sz w:val="32"/>
          <w:szCs w:val="32"/>
          <w:u w:val="none"/>
        </w:rPr>
        <w:t>202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3</w:t>
      </w:r>
      <w:r>
        <w:rPr>
          <w:rFonts w:ascii="Times New Roman" w:hAnsi="Times New Roman" w:eastAsia="仿宋_GB2312"/>
          <w:sz w:val="32"/>
          <w:szCs w:val="32"/>
          <w:u w:val="none"/>
        </w:rPr>
        <w:t>年是极不平凡、极其不易的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一年。区融媒体中心</w:t>
      </w:r>
      <w:r>
        <w:rPr>
          <w:rFonts w:ascii="Times New Roman" w:hAnsi="Times New Roman" w:eastAsia="仿宋_GB2312"/>
          <w:sz w:val="32"/>
          <w:szCs w:val="32"/>
          <w:u w:val="none"/>
        </w:rPr>
        <w:t>在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区</w:t>
      </w:r>
      <w:r>
        <w:rPr>
          <w:rFonts w:ascii="Times New Roman" w:hAnsi="Times New Roman" w:eastAsia="仿宋_GB2312"/>
          <w:sz w:val="32"/>
          <w:szCs w:val="32"/>
          <w:u w:val="none"/>
        </w:rPr>
        <w:t>委、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区</w:t>
      </w:r>
      <w:r>
        <w:rPr>
          <w:rFonts w:ascii="Times New Roman" w:hAnsi="Times New Roman" w:eastAsia="仿宋_GB2312"/>
          <w:sz w:val="32"/>
          <w:szCs w:val="32"/>
          <w:u w:val="none"/>
        </w:rPr>
        <w:t>政府的坚强领导下，迎难而上、砥砺奋进，全年预算执行总体良好，各项工作任务圆满完成，向全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区</w:t>
      </w:r>
      <w:r>
        <w:rPr>
          <w:rFonts w:ascii="Times New Roman" w:hAnsi="Times New Roman" w:eastAsia="仿宋_GB2312"/>
          <w:sz w:val="32"/>
          <w:szCs w:val="32"/>
          <w:u w:val="none"/>
        </w:rPr>
        <w:t>人民交出了一份满意答卷。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</w:pPr>
      <w:r>
        <w:rPr>
          <w:rStyle w:val="8"/>
          <w:rFonts w:ascii="仿宋" w:hAnsi="仿宋" w:eastAsia="仿宋" w:cs="仿宋"/>
          <w:i w:val="0"/>
          <w:iCs w:val="0"/>
          <w:caps w:val="0"/>
          <w:color w:val="666666"/>
          <w:spacing w:val="0"/>
          <w:sz w:val="28"/>
          <w:szCs w:val="28"/>
          <w:u w:val="none"/>
          <w:shd w:val="clear" w:fill="FFFFFF"/>
        </w:rPr>
        <w:t>（</w:t>
      </w:r>
      <w:r>
        <w:rPr>
          <w:rFonts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  <w:t>一）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u w:val="none"/>
          <w:lang w:val="en-US" w:eastAsia="zh-CN"/>
        </w:rPr>
        <w:t>重稿任务。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u w:val="none"/>
          <w:lang w:val="en-US" w:eastAsia="zh-CN"/>
        </w:rPr>
        <w:t>聚焦主线、主动有为，外宣实现新突破。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  <w:t>今年我中心外宣内宣双轮驱动、全面发力，极大的提升了南岳衡山风景区的知名度。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2022年度外宣上稿共计758条同比2021年增加138%，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央媒刊播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117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条，省级刊播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472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条，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级刊播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152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  <w:t> （二）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u w:val="none"/>
          <w:lang w:val="en-US" w:eastAsia="zh-CN"/>
        </w:rPr>
        <w:t>内外宣传。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u w:val="none"/>
          <w:lang w:val="en-US" w:eastAsia="zh-CN" w:bidi="ar-SA"/>
        </w:rPr>
        <w:t>攻坚破题、创新制胜，体制改革划旧谋新。</w:t>
      </w:r>
      <w:r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-SA"/>
        </w:rPr>
        <w:t>我中心的《南岳新闻》实现重大突破，由原先一三五首播，二四六重播改为日播制，做到当天新闻当天播；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u w:val="none"/>
          <w:lang w:val="en-US" w:eastAsia="zh-CN" w:bidi="ar-SA"/>
        </w:rPr>
        <w:t>共制播《南岳新闻》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233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u w:val="none"/>
          <w:lang w:val="en-US" w:eastAsia="zh-CN" w:bidi="ar-SA"/>
        </w:rPr>
        <w:t>期，电视稿件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1645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u w:val="none"/>
          <w:lang w:val="en-US" w:eastAsia="zh-CN" w:bidi="ar-SA"/>
        </w:rPr>
        <w:t>余条；“天下南岳”公众号刊发平面稿件2153条，“天下南岳”视频号制作播出432条视频时长851分钟，南岳融媒抖音号制作视频934条，“南岳新闻网”和“南岳融媒”APP制编转发2400余条稿件；“村村响”应急广播系统制作森林防火广播稿60余条，播放1300余次，疫情防控广播稿20余条，播放1100余次；制作完成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各类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u w:val="none"/>
          <w:lang w:val="en-US" w:eastAsia="zh-CN" w:bidi="ar-SA"/>
        </w:rPr>
        <w:t>森林防火、疫情防控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电视公益广告60余条，南岳区宣传图片海报310余幅。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  <w:t> （</w:t>
      </w:r>
      <w:r>
        <w:rPr>
          <w:rFonts w:hint="eastAsia" w:eastAsia="仿宋_GB2312" w:cstheme="minorBidi"/>
          <w:kern w:val="2"/>
          <w:sz w:val="32"/>
          <w:szCs w:val="32"/>
          <w:u w:val="none"/>
          <w:lang w:val="en-US" w:eastAsia="zh-CN" w:bidi="ar-SA"/>
        </w:rPr>
        <w:t>三</w:t>
      </w:r>
      <w:r>
        <w:rPr>
          <w:rFonts w:hint="default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  <w:t>）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u w:val="none"/>
          <w:lang w:val="en-US" w:eastAsia="zh-CN"/>
        </w:rPr>
        <w:t>媒体立体传播矩阵。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u w:val="none"/>
          <w:lang w:val="en-US" w:eastAsia="zh-CN"/>
        </w:rPr>
        <w:t>融媒平台、创新驱动，推陈出新成绩斐然。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一是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由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  <w:t>我中心推送的南岳衡山美景先后三次在重大时刻节点（元旦、国庆、党的二十大）登上央视《新闻联播》。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二是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  <w:t>我中心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“云游南岳”慢直播平台，在元旦节期间参加“学习强国”平台和中央电视台的“新年日出”的全国联动直播，感受祖国大好山河，品味各地人文内涵，庆祝中华人民共和国成立73周年，在线观看人破千万；南岳融媒抖音号播放量超1.1亿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三是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我中心策划制作的《湖南南岳：漫天星辰 夜色如画》分别在新华社、人民日报、学习强国、湖南日报、湖南卫视、新浪网等21家媒体发布。被新华社微博推上热搜，浏览量高达1332.4万，网友们纷纷表示“星空太美，要来南岳手摘星辰。”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四是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湖南有线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55频道每天推送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  <w:t>我中心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“云游南岳”慢直播视频。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五是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天下南岳慢直播近日接入阿里巴巴支付宝平台，目前观看量已突破10万+，进一步拓展南岳旅游宣传的渠道。</w:t>
      </w: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六是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今年，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  <w:t>我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val="en-US" w:eastAsia="zh-CN"/>
        </w:rPr>
        <w:t>中心先后获得由新华社新闻信息中心、音视频部联合举办的《千城胜景》系列微视频展映活动生态文明宣传奖；由新华社新闻信息中心、新浪新闻、中国自然资源报社联合举办的“四季旅行”2021年活动荣获“美好生活记录者”特别奖项等，成绩和荣誉的取得，充分展示了年轻队伍的蓬勃朝气和活力，更提升了我中心在全省同行中的影响力和知名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Times New Roman" w:hAnsi="Times New Roman" w:eastAsia="方正仿宋简体"/>
          <w:spacing w:val="-6"/>
          <w:kern w:val="0"/>
          <w:sz w:val="32"/>
          <w:szCs w:val="32"/>
          <w:u w:val="none"/>
          <w:lang w:eastAsia="zh-CN"/>
        </w:rPr>
      </w:pPr>
      <w:r>
        <w:rPr>
          <w:rFonts w:hint="default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  <w:t>（</w:t>
      </w:r>
      <w:r>
        <w:rPr>
          <w:rFonts w:hint="eastAsia" w:eastAsia="仿宋_GB2312" w:cstheme="minorBidi"/>
          <w:kern w:val="2"/>
          <w:sz w:val="32"/>
          <w:szCs w:val="32"/>
          <w:u w:val="none"/>
          <w:lang w:val="en-US" w:eastAsia="zh-CN" w:bidi="ar-SA"/>
        </w:rPr>
        <w:t>四</w:t>
      </w:r>
      <w:r>
        <w:rPr>
          <w:rFonts w:hint="default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  <w:t>）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u w:val="none"/>
          <w:lang w:val="en-US" w:eastAsia="zh-CN"/>
        </w:rPr>
        <w:t>完善管理机制确保安全生产。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强化底线思维和红线意识。统筹安全生产、疫情防控、反恐防范和平安建设等工作，抓好源头治理、系统综合治理，进一步提升安全播出、安全生产保障能力。把广播电视安全播出和网络安全防护作为重中之重。</w:t>
      </w:r>
      <w:r>
        <w:rPr>
          <w:rFonts w:hint="eastAsia" w:ascii="Times New Roman" w:hAnsi="Times New Roman" w:eastAsia="方正仿宋简体"/>
          <w:spacing w:val="-6"/>
          <w:kern w:val="0"/>
          <w:sz w:val="32"/>
          <w:szCs w:val="32"/>
          <w:u w:val="none"/>
          <w:lang w:eastAsia="zh-CN"/>
        </w:rPr>
        <w:t>保障广播电视和网络视听安全播出、安全传输工作，融媒体中心对照安全播出实施细则，先后对信号源、</w:t>
      </w:r>
      <w:r>
        <w:rPr>
          <w:rFonts w:hint="eastAsia" w:ascii="Times New Roman" w:hAnsi="Times New Roman" w:eastAsia="方正仿宋简体"/>
          <w:spacing w:val="-6"/>
          <w:kern w:val="0"/>
          <w:sz w:val="32"/>
          <w:szCs w:val="32"/>
          <w:u w:val="none"/>
          <w:lang w:val="en-US" w:eastAsia="zh-CN"/>
        </w:rPr>
        <w:t>UPS电源</w:t>
      </w:r>
      <w:r>
        <w:rPr>
          <w:rFonts w:hint="eastAsia" w:ascii="Times New Roman" w:hAnsi="Times New Roman" w:eastAsia="方正仿宋简体"/>
          <w:spacing w:val="-6"/>
          <w:kern w:val="0"/>
          <w:sz w:val="32"/>
          <w:szCs w:val="32"/>
          <w:u w:val="none"/>
          <w:lang w:eastAsia="zh-CN"/>
        </w:rPr>
        <w:t>系统、广播电视播出系统、电力、消防等进行了安全检查，积极营造安全优质、稳定可靠的播出环境，确保安全播出、安全生产万无一失。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3" w:firstLineChars="200"/>
        <w:textAlignment w:val="auto"/>
        <w:rPr>
          <w:rFonts w:hint="default" w:ascii="黑体" w:hAnsi="黑体" w:eastAsia="黑体" w:cs="黑体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u w:val="none"/>
          <w:lang w:val="en-US" w:eastAsia="zh-CN"/>
        </w:rPr>
        <w:t>四、存在的问题和主要原因及下年度工作计划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(一）存在的问题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1、全媒体型及技术人才缺乏，人才断层现象十分严重，采编策划一体化人才和新媒体采编人员严重不足，“两微一端”的推文发布时效性有待加强。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2、中心的摄、录、制、播设备设备陈旧，特别是播出机房已不间断运行10年，设备陈旧且有时出现老化现象。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（二）主要原因分析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1、缺乏资金对中心所属设施设备进行更新换代。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2、缺乏相关政策招聘中心所需的专业型技术人才。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none"/>
          <w:lang w:val="en-US" w:eastAsia="zh-CN"/>
        </w:rPr>
        <w:t>五、下一步改进措施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针对上述存在的问题，拟采取以下改进措施：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强化预算管理，定期开展预算执行分析。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通过定期对项目实施和预算执行情况进行梳理，及时掌握项目进度，将预算资金管理贯穿于实施全过程中。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同时提高宣传质量。紧密围绕“党的二十大”为主题中心工作,坚持正确的政治方向，加强对新闻的策划，提高新闻宣传质量。推出一系列质量高,分量重、影响大的新闻报道稿件。加大人才培养力度,推进媒体深度融合发展。在媒体深度融合发展的过程中，积极引进媒体融合发展所需的高层次人才、紧缺人才、领军人才，不断优化队伍结构。</w:t>
      </w:r>
    </w:p>
    <w:p>
      <w:pPr>
        <w:widowControl/>
        <w:numPr>
          <w:ilvl w:val="0"/>
          <w:numId w:val="0"/>
        </w:numPr>
        <w:spacing w:line="600" w:lineRule="exact"/>
        <w:jc w:val="left"/>
        <w:rPr>
          <w:rFonts w:hint="default" w:ascii="Times New Roman" w:hAnsi="Times New Roman" w:eastAsia="仿宋_GB2312"/>
          <w:sz w:val="32"/>
          <w:szCs w:val="32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39CCF1"/>
    <w:multiLevelType w:val="singleLevel"/>
    <w:tmpl w:val="F639CCF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1MTkzZTg5ZjgyNzczYTZlZDMyZDQ0ZDY3ZmMzNGEifQ=="/>
    <w:docVar w:name="KSO_WPS_MARK_KEY" w:val="87eb4f65-0446-43b4-b07e-9d52083bd518"/>
  </w:docVars>
  <w:rsids>
    <w:rsidRoot w:val="58E06247"/>
    <w:rsid w:val="00881676"/>
    <w:rsid w:val="103C1D0B"/>
    <w:rsid w:val="149B2A0B"/>
    <w:rsid w:val="1AE26F06"/>
    <w:rsid w:val="20E67351"/>
    <w:rsid w:val="218D02BB"/>
    <w:rsid w:val="28606852"/>
    <w:rsid w:val="29121970"/>
    <w:rsid w:val="29941A79"/>
    <w:rsid w:val="29EF7861"/>
    <w:rsid w:val="2ADA6473"/>
    <w:rsid w:val="30BE2A8F"/>
    <w:rsid w:val="429F3322"/>
    <w:rsid w:val="43102595"/>
    <w:rsid w:val="475278BE"/>
    <w:rsid w:val="4A1504A0"/>
    <w:rsid w:val="52C14B04"/>
    <w:rsid w:val="55A02E49"/>
    <w:rsid w:val="58E06247"/>
    <w:rsid w:val="5DA220D3"/>
    <w:rsid w:val="5FD9795A"/>
    <w:rsid w:val="61AE2D76"/>
    <w:rsid w:val="64A2122F"/>
    <w:rsid w:val="6713109A"/>
    <w:rsid w:val="67B42849"/>
    <w:rsid w:val="6AD04BB4"/>
    <w:rsid w:val="6B3D13CC"/>
    <w:rsid w:val="71BD756A"/>
    <w:rsid w:val="751B6785"/>
    <w:rsid w:val="759B32F8"/>
    <w:rsid w:val="7E60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样式3"/>
    <w:basedOn w:val="1"/>
    <w:qFormat/>
    <w:uiPriority w:val="0"/>
    <w:rPr>
      <w:rFonts w:ascii="Times New Roman" w:hAnsi="Times New Roman" w:eastAsia="仿宋_GB2312" w:cs="Times New Roman"/>
      <w:spacing w:val="113"/>
      <w:sz w:val="32"/>
    </w:rPr>
  </w:style>
  <w:style w:type="paragraph" w:customStyle="1" w:styleId="10">
    <w:name w:val="样式4"/>
    <w:basedOn w:val="1"/>
    <w:qFormat/>
    <w:uiPriority w:val="0"/>
    <w:rPr>
      <w:rFonts w:ascii="Times New Roman" w:hAnsi="Times New Roman" w:eastAsia="仿宋_GB2312" w:cs="Times New Roman"/>
      <w:snapToGrid w:val="0"/>
      <w:spacing w:val="79"/>
      <w:sz w:val="32"/>
    </w:rPr>
  </w:style>
  <w:style w:type="paragraph" w:customStyle="1" w:styleId="11">
    <w:name w:val="样式6"/>
    <w:basedOn w:val="1"/>
    <w:qFormat/>
    <w:uiPriority w:val="0"/>
    <w:rPr>
      <w:rFonts w:ascii="Times New Roman" w:hAnsi="Times New Roman" w:eastAsia="仿宋_GB2312" w:cs="Times New Roman"/>
      <w:spacing w:val="57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2942</Words>
  <Characters>3092</Characters>
  <Lines>0</Lines>
  <Paragraphs>0</Paragraphs>
  <TotalTime>50</TotalTime>
  <ScaleCrop>false</ScaleCrop>
  <LinksUpToDate>false</LinksUpToDate>
  <CharactersWithSpaces>3108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2020-10-27T13:06:00Z</dcterms:created>
  <dc:creator>Administrator</dc:creator>
  <cp:lastModifiedBy>Administrator</cp:lastModifiedBy>
  <cp:lastPrinted>2022-12-08T01:17:00Z</cp:lastPrinted>
  <dcterms:modified xsi:type="dcterms:W3CDTF">2024-04-15T01:19:40Z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9E9B84AA9E8D4D5CB772C1988B846714_13</vt:lpwstr>
  </property>
</Properties>
</file>